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8ECB5B">
      <w:pPr>
        <w:keepNext w:val="0"/>
        <w:keepLines w:val="0"/>
        <w:widowControl/>
        <w:suppressLineNumbers w:val="0"/>
        <w:jc w:val="center"/>
        <w:rPr>
          <w:rFonts w:eastAsia="Times New Roman" w:cs="Times New Roman"/>
          <w:b/>
          <w:bCs/>
          <w:kern w:val="36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bCs/>
          <w:kern w:val="36"/>
          <w:sz w:val="24"/>
          <w:szCs w:val="24"/>
          <w:lang w:val="en-US" w:eastAsia="zh-CN" w:bidi="ar-SA"/>
        </w:rPr>
        <w:t>酒店管理公司遴选技术任务书</w:t>
      </w:r>
    </w:p>
    <w:p w14:paraId="07A355B7">
      <w:pPr>
        <w:pStyle w:val="18"/>
        <w:numPr>
          <w:ilvl w:val="0"/>
          <w:numId w:val="1"/>
        </w:numPr>
        <w:spacing w:before="120" w:after="120" w:line="264" w:lineRule="auto"/>
        <w:contextualSpacing w:val="0"/>
        <w:jc w:val="center"/>
        <w:outlineLvl w:val="1"/>
        <w:rPr>
          <w:rFonts w:eastAsia="Times New Roman" w:cs="Times New Roman"/>
          <w:b/>
          <w:bCs/>
          <w:sz w:val="24"/>
          <w:szCs w:val="24"/>
          <w:lang w:eastAsia="ru-RU"/>
        </w:rPr>
      </w:pPr>
      <w:r>
        <w:rPr>
          <w:rFonts w:eastAsia="Times New Roman" w:cs="Times New Roman"/>
          <w:b/>
          <w:bCs/>
          <w:sz w:val="24"/>
          <w:szCs w:val="24"/>
          <w:lang w:val="en-US" w:eastAsia="zh-CN"/>
        </w:rPr>
        <w:t>项目基本信息</w:t>
      </w:r>
    </w:p>
    <w:p w14:paraId="201C1364">
      <w:pPr>
        <w:spacing w:before="120" w:after="120" w:line="264" w:lineRule="auto"/>
        <w:jc w:val="both"/>
        <w:rPr>
          <w:rFonts w:hint="eastAsia" w:eastAsia="Times New Roman" w:cs="Times New Roman"/>
          <w:b/>
          <w:bCs/>
          <w:sz w:val="24"/>
          <w:szCs w:val="24"/>
          <w:lang w:val="en-US" w:eastAsia="zh-CN"/>
        </w:rPr>
      </w:pPr>
      <w:r>
        <w:rPr>
          <w:rFonts w:eastAsia="Times New Roman" w:cs="Times New Roman"/>
          <w:b/>
          <w:bCs/>
          <w:sz w:val="24"/>
          <w:szCs w:val="24"/>
          <w:lang w:val="en-US" w:eastAsia="zh-CN"/>
        </w:rPr>
        <w:t>项目内容</w:t>
      </w:r>
      <w:r>
        <w:rPr>
          <w:rFonts w:eastAsia="Times New Roman" w:cs="Times New Roman"/>
          <w:b/>
          <w:bCs/>
          <w:sz w:val="24"/>
          <w:szCs w:val="24"/>
          <w:lang w:eastAsia="ru-RU"/>
        </w:rPr>
        <w:t xml:space="preserve">: </w:t>
      </w:r>
      <w:r>
        <w:rPr>
          <w:rFonts w:eastAsia="Times New Roman" w:cs="Times New Roman"/>
          <w:b w:val="0"/>
          <w:bCs w:val="0"/>
          <w:sz w:val="24"/>
          <w:szCs w:val="24"/>
          <w:lang w:val="en-US" w:eastAsia="zh-CN"/>
        </w:rPr>
        <w:t>基于现有疗养院进行改造及新建工程，并最终以国际品牌开设度假酒店。</w:t>
      </w:r>
    </w:p>
    <w:p w14:paraId="7020A8DC">
      <w:pPr>
        <w:spacing w:before="120" w:after="120" w:line="264" w:lineRule="auto"/>
        <w:jc w:val="both"/>
        <w:rPr>
          <w:rFonts w:eastAsia="Times New Roman" w:cs="Times New Roman"/>
          <w:b/>
          <w:bCs/>
          <w:sz w:val="24"/>
          <w:szCs w:val="24"/>
          <w:lang w:val="en-US" w:eastAsia="zh-CN"/>
        </w:rPr>
      </w:pPr>
      <w:r>
        <w:rPr>
          <w:rFonts w:eastAsia="Times New Roman" w:cs="Times New Roman"/>
          <w:b/>
          <w:bCs/>
          <w:sz w:val="24"/>
          <w:szCs w:val="24"/>
          <w:lang w:val="en-US" w:eastAsia="zh-CN"/>
        </w:rPr>
        <w:t>项目名称：</w:t>
      </w:r>
      <w:r>
        <w:rPr>
          <w:rFonts w:eastAsia="Times New Roman" w:cs="Times New Roman"/>
          <w:b w:val="0"/>
          <w:bCs w:val="0"/>
          <w:sz w:val="24"/>
          <w:szCs w:val="24"/>
          <w:lang w:val="en-US" w:eastAsia="zh-CN"/>
        </w:rPr>
        <w:t>“友谊”疗养院（Druzhba Resort）</w:t>
      </w:r>
    </w:p>
    <w:p w14:paraId="37AE02B2">
      <w:pPr>
        <w:spacing w:before="120" w:after="120" w:line="264" w:lineRule="auto"/>
        <w:jc w:val="both"/>
        <w:rPr>
          <w:rFonts w:eastAsia="Times New Roman" w:cs="Times New Roman"/>
          <w:b/>
          <w:bCs/>
          <w:sz w:val="24"/>
          <w:szCs w:val="24"/>
          <w:lang w:eastAsia="ru-RU"/>
        </w:rPr>
      </w:pPr>
      <w:r>
        <w:rPr>
          <w:rFonts w:eastAsia="Times New Roman" w:cs="Times New Roman"/>
          <w:b/>
          <w:bCs/>
          <w:sz w:val="24"/>
          <w:szCs w:val="24"/>
          <w:lang w:val="en-US" w:eastAsia="zh-CN"/>
        </w:rPr>
        <w:t>项目地点：</w:t>
      </w:r>
      <w:r>
        <w:rPr>
          <w:rFonts w:eastAsia="Times New Roman" w:cs="Times New Roman"/>
          <w:b w:val="0"/>
          <w:bCs w:val="0"/>
          <w:sz w:val="24"/>
          <w:szCs w:val="24"/>
          <w:lang w:val="en-US" w:eastAsia="zh-CN"/>
        </w:rPr>
        <w:t>伊塞克湖州秋普区库图尔古村5号地块。</w:t>
      </w:r>
    </w:p>
    <w:p w14:paraId="7E2DD71A">
      <w:pPr>
        <w:spacing w:before="120" w:after="120" w:line="264" w:lineRule="auto"/>
        <w:jc w:val="both"/>
        <w:rPr>
          <w:rFonts w:eastAsia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 Bold" w:hAnsi="Times New Roman Bold" w:eastAsia="Times New Roman" w:cs="Times New Roman Bold"/>
          <w:b/>
          <w:bCs/>
          <w:sz w:val="24"/>
          <w:szCs w:val="24"/>
          <w:lang w:val="en-US" w:eastAsia="zh-CN"/>
        </w:rPr>
        <w:t>土地面积：</w:t>
      </w:r>
      <w:r>
        <w:rPr>
          <w:rFonts w:eastAsia="Times New Roman" w:cs="Times New Roman"/>
          <w:b w:val="0"/>
          <w:bCs w:val="0"/>
          <w:sz w:val="24"/>
          <w:szCs w:val="24"/>
          <w:lang w:val="en-US" w:eastAsia="zh-CN"/>
        </w:rPr>
        <w:t>4.5公顷。</w:t>
      </w:r>
    </w:p>
    <w:p w14:paraId="42499E07">
      <w:pPr>
        <w:spacing w:before="120" w:after="120" w:line="264" w:lineRule="auto"/>
        <w:jc w:val="both"/>
        <w:rPr>
          <w:rFonts w:eastAsia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 Bold" w:hAnsi="Times New Roman Bold" w:eastAsia="Times New Roman" w:cs="Times New Roman Bold"/>
          <w:b/>
          <w:bCs/>
          <w:sz w:val="24"/>
          <w:szCs w:val="24"/>
          <w:lang w:val="en-US" w:eastAsia="zh-CN"/>
        </w:rPr>
        <w:t>拟建酒店等级：</w:t>
      </w:r>
      <w:r>
        <w:rPr>
          <w:rFonts w:eastAsia="Times New Roman" w:cs="Times New Roman"/>
          <w:b w:val="0"/>
          <w:bCs w:val="0"/>
          <w:sz w:val="24"/>
          <w:szCs w:val="24"/>
          <w:lang w:val="en-US" w:eastAsia="zh-CN"/>
        </w:rPr>
        <w:t>4–4+星级。</w:t>
      </w:r>
    </w:p>
    <w:p w14:paraId="6AA392DB">
      <w:pPr>
        <w:keepNext w:val="0"/>
        <w:keepLines w:val="0"/>
        <w:widowControl/>
        <w:suppressLineNumbers w:val="0"/>
        <w:jc w:val="left"/>
        <w:rPr>
          <w:rFonts w:hint="eastAsia" w:ascii="SimSun" w:hAnsi="SimSun" w:eastAsia="SimSun" w:cs="SimSun"/>
          <w:kern w:val="0"/>
          <w:sz w:val="24"/>
          <w:szCs w:val="24"/>
          <w:lang w:val="en-US" w:eastAsia="zh-CN" w:bidi="ar"/>
        </w:rPr>
      </w:pPr>
      <w:r>
        <w:rPr>
          <w:rStyle w:val="13"/>
          <w:rFonts w:ascii="SimSun" w:hAnsi="SimSun" w:eastAsia="SimSun" w:cs="SimSun"/>
          <w:kern w:val="0"/>
          <w:sz w:val="24"/>
          <w:szCs w:val="24"/>
          <w:lang w:val="en-US" w:eastAsia="zh-CN" w:bidi="ar"/>
        </w:rPr>
        <w:t>委托方：</w:t>
      </w:r>
      <w:r>
        <w:rPr>
          <w:rFonts w:hint="eastAsia" w:ascii="Times New Roman" w:hAnsi="Times New Roman" w:eastAsia="Times New Roman" w:cs="Times New Roman"/>
          <w:b w:val="0"/>
          <w:bCs w:val="0"/>
          <w:sz w:val="24"/>
          <w:szCs w:val="24"/>
          <w:lang w:val="en-US" w:eastAsia="zh-CN" w:bidi="ar-SA"/>
        </w:rPr>
        <w:t>吉尔吉斯共和国国家投资基金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（以下简称“基金” ）</w:t>
      </w:r>
    </w:p>
    <w:p w14:paraId="1E13386F">
      <w:pPr>
        <w:pStyle w:val="18"/>
        <w:numPr>
          <w:ilvl w:val="0"/>
          <w:numId w:val="1"/>
        </w:numPr>
        <w:spacing w:before="120" w:after="120" w:line="264" w:lineRule="auto"/>
        <w:contextualSpacing w:val="0"/>
        <w:jc w:val="center"/>
        <w:outlineLvl w:val="1"/>
        <w:rPr>
          <w:rFonts w:eastAsia="Times New Roman" w:cs="Times New Roman"/>
          <w:b/>
          <w:bCs/>
          <w:sz w:val="24"/>
          <w:szCs w:val="24"/>
          <w:lang w:val="en-US" w:eastAsia="zh-CN"/>
        </w:rPr>
      </w:pPr>
      <w:r>
        <w:rPr>
          <w:rFonts w:eastAsia="Times New Roman" w:cs="Times New Roman"/>
          <w:b/>
          <w:bCs/>
          <w:sz w:val="24"/>
          <w:szCs w:val="24"/>
          <w:lang w:val="en-US" w:eastAsia="zh-CN"/>
        </w:rPr>
        <w:t>遴选目标</w:t>
      </w:r>
    </w:p>
    <w:p w14:paraId="796DBA55">
      <w:pPr>
        <w:keepNext w:val="0"/>
        <w:keepLines w:val="0"/>
        <w:widowControl/>
        <w:suppressLineNumbers w:val="0"/>
        <w:jc w:val="left"/>
        <w:rPr>
          <w:rFonts w:hint="eastAsia" w:eastAsia="SimSun" w:cs="Times New Roman"/>
          <w:sz w:val="24"/>
          <w:szCs w:val="24"/>
          <w:lang w:val="en-US" w:eastAsia="zh-CN"/>
        </w:rPr>
      </w:pP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本次遴选旨在确定一家酒店管理公司，负责项目筹备与实施全过程，包括：</w:t>
      </w:r>
    </w:p>
    <w:p w14:paraId="4971F787">
      <w:pPr>
        <w:numPr>
          <w:ilvl w:val="0"/>
          <w:numId w:val="2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 xml:space="preserve">项目概念及发展战略制定； </w:t>
      </w:r>
    </w:p>
    <w:p w14:paraId="23FCD282">
      <w:pPr>
        <w:numPr>
          <w:ilvl w:val="0"/>
          <w:numId w:val="2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 xml:space="preserve">编制详细商业计划书； </w:t>
      </w:r>
    </w:p>
    <w:p w14:paraId="6A764A9D">
      <w:pPr>
        <w:numPr>
          <w:ilvl w:val="0"/>
          <w:numId w:val="2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 xml:space="preserve">建立财务模型； </w:t>
      </w:r>
    </w:p>
    <w:p w14:paraId="7C7FA91C">
      <w:pPr>
        <w:numPr>
          <w:ilvl w:val="0"/>
          <w:numId w:val="2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 xml:space="preserve">引入国际酒店品牌特许经营； </w:t>
      </w:r>
    </w:p>
    <w:p w14:paraId="72A09525">
      <w:pPr>
        <w:numPr>
          <w:ilvl w:val="0"/>
          <w:numId w:val="2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 xml:space="preserve">配合并支持项目设计工作； </w:t>
      </w:r>
    </w:p>
    <w:p w14:paraId="02FEFF9F">
      <w:pPr>
        <w:numPr>
          <w:ilvl w:val="0"/>
          <w:numId w:val="2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 xml:space="preserve">开业筹备； </w:t>
      </w:r>
    </w:p>
    <w:p w14:paraId="5343FCA3">
      <w:pPr>
        <w:numPr>
          <w:ilvl w:val="0"/>
          <w:numId w:val="2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>酒店后续运营管理。</w:t>
      </w:r>
    </w:p>
    <w:p w14:paraId="1F5FDA8A">
      <w:pPr>
        <w:pStyle w:val="18"/>
        <w:numPr>
          <w:ilvl w:val="0"/>
          <w:numId w:val="1"/>
        </w:numPr>
        <w:spacing w:before="120" w:after="120" w:line="264" w:lineRule="auto"/>
        <w:contextualSpacing w:val="0"/>
        <w:jc w:val="center"/>
        <w:outlineLvl w:val="1"/>
        <w:rPr>
          <w:rFonts w:eastAsia="Times New Roman" w:cs="Times New Roman"/>
          <w:b/>
          <w:bCs/>
          <w:sz w:val="24"/>
          <w:szCs w:val="24"/>
          <w:lang w:eastAsia="ru-RU"/>
        </w:rPr>
      </w:pPr>
      <w:r>
        <w:rPr>
          <w:rFonts w:eastAsia="Times New Roman" w:cs="Times New Roman"/>
          <w:b/>
          <w:bCs/>
          <w:sz w:val="24"/>
          <w:szCs w:val="24"/>
          <w:lang w:val="en-US" w:eastAsia="zh-CN"/>
        </w:rPr>
        <w:t>服务范围</w:t>
      </w:r>
    </w:p>
    <w:p w14:paraId="0F3DBBD1">
      <w:pPr>
        <w:pStyle w:val="18"/>
        <w:numPr>
          <w:ilvl w:val="1"/>
          <w:numId w:val="1"/>
        </w:numPr>
        <w:spacing w:before="120" w:after="120" w:line="264" w:lineRule="auto"/>
        <w:contextualSpacing w:val="0"/>
        <w:jc w:val="both"/>
        <w:rPr>
          <w:rFonts w:eastAsia="Times New Roman" w:cs="Times New Roman"/>
          <w:b/>
          <w:bCs/>
          <w:sz w:val="24"/>
          <w:szCs w:val="24"/>
          <w:lang w:eastAsia="ru-RU"/>
        </w:rPr>
      </w:pPr>
      <w:r>
        <w:rPr>
          <w:rFonts w:eastAsia="Times New Roman" w:cs="Times New Roman"/>
          <w:b/>
          <w:bCs/>
          <w:sz w:val="24"/>
          <w:szCs w:val="24"/>
          <w:lang w:eastAsia="ru-RU"/>
        </w:rPr>
        <w:t xml:space="preserve"> </w:t>
      </w:r>
      <w:r>
        <w:rPr>
          <w:rFonts w:eastAsia="Times New Roman" w:cs="Times New Roman"/>
          <w:b/>
          <w:bCs/>
          <w:sz w:val="24"/>
          <w:szCs w:val="24"/>
          <w:lang w:val="en-US" w:eastAsia="zh-CN"/>
        </w:rPr>
        <w:t>项目概念及发展战略制定</w:t>
      </w:r>
    </w:p>
    <w:p w14:paraId="7781563F">
      <w:p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>服务提供方应负责：</w:t>
      </w:r>
    </w:p>
    <w:p w14:paraId="42406E17">
      <w:pPr>
        <w:numPr>
          <w:ilvl w:val="0"/>
          <w:numId w:val="3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 xml:space="preserve">区域酒店市场分析； </w:t>
      </w:r>
    </w:p>
    <w:p w14:paraId="2B267971">
      <w:pPr>
        <w:numPr>
          <w:ilvl w:val="0"/>
          <w:numId w:val="3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 xml:space="preserve">竞争环境分析； </w:t>
      </w:r>
    </w:p>
    <w:p w14:paraId="245582E2">
      <w:pPr>
        <w:numPr>
          <w:ilvl w:val="0"/>
          <w:numId w:val="3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 xml:space="preserve">项目市场定位； </w:t>
      </w:r>
    </w:p>
    <w:p w14:paraId="333DECBC">
      <w:pPr>
        <w:numPr>
          <w:ilvl w:val="0"/>
          <w:numId w:val="3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 xml:space="preserve">目标客户群体定位； </w:t>
      </w:r>
    </w:p>
    <w:p w14:paraId="6FCDFB83">
      <w:pPr>
        <w:numPr>
          <w:ilvl w:val="0"/>
          <w:numId w:val="3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 xml:space="preserve">客房结构规划； </w:t>
      </w:r>
    </w:p>
    <w:p w14:paraId="3AF2B127">
      <w:pPr>
        <w:numPr>
          <w:ilvl w:val="0"/>
          <w:numId w:val="3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 xml:space="preserve">基础配套设施规划，包括： </w:t>
      </w:r>
    </w:p>
    <w:p w14:paraId="2CEFF353">
      <w:pPr>
        <w:numPr>
          <w:ilvl w:val="1"/>
          <w:numId w:val="4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val="en-US" w:eastAsia="ru-RU"/>
        </w:rPr>
      </w:pPr>
      <w:r>
        <w:rPr>
          <w:rFonts w:eastAsia="Times New Roman" w:cs="Times New Roman"/>
          <w:sz w:val="24"/>
          <w:szCs w:val="24"/>
          <w:lang w:val="en-US" w:eastAsia="ru-RU"/>
        </w:rPr>
        <w:t xml:space="preserve">F&amp;B（Food &amp; Beverage，餐饮设施：餐厅及酒吧）； </w:t>
      </w:r>
    </w:p>
    <w:p w14:paraId="00C7E185">
      <w:pPr>
        <w:numPr>
          <w:ilvl w:val="1"/>
          <w:numId w:val="4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val="en-US" w:eastAsia="ru-RU"/>
        </w:rPr>
      </w:pPr>
      <w:r>
        <w:rPr>
          <w:rFonts w:eastAsia="Times New Roman" w:cs="Times New Roman"/>
          <w:sz w:val="24"/>
          <w:szCs w:val="24"/>
          <w:lang w:val="en-US" w:eastAsia="ru-RU"/>
        </w:rPr>
        <w:t xml:space="preserve">SPA（康养及水疗中心）； </w:t>
      </w:r>
    </w:p>
    <w:p w14:paraId="35FC81AB">
      <w:pPr>
        <w:numPr>
          <w:ilvl w:val="1"/>
          <w:numId w:val="4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val="en-US" w:eastAsia="ru-RU"/>
        </w:rPr>
      </w:pPr>
      <w:r>
        <w:rPr>
          <w:rFonts w:eastAsia="Times New Roman" w:cs="Times New Roman"/>
          <w:sz w:val="24"/>
          <w:szCs w:val="24"/>
          <w:lang w:val="en-US" w:eastAsia="ru-RU"/>
        </w:rPr>
        <w:t xml:space="preserve">MICE（Meetings, Incentives, Conferences, Exhibitions，会议会展及商务活动设施）； </w:t>
      </w:r>
    </w:p>
    <w:p w14:paraId="4FDC8CCD">
      <w:pPr>
        <w:numPr>
          <w:ilvl w:val="1"/>
          <w:numId w:val="4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val="en-US" w:eastAsia="ru-RU"/>
        </w:rPr>
      </w:pPr>
      <w:r>
        <w:rPr>
          <w:rFonts w:eastAsia="Times New Roman" w:cs="Times New Roman"/>
          <w:sz w:val="24"/>
          <w:szCs w:val="24"/>
          <w:lang w:val="en-US" w:eastAsia="ru-RU"/>
        </w:rPr>
        <w:t xml:space="preserve">公共及服务区域； </w:t>
      </w:r>
    </w:p>
    <w:p w14:paraId="0E0CECEB">
      <w:pPr>
        <w:numPr>
          <w:ilvl w:val="0"/>
          <w:numId w:val="3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 xml:space="preserve">酒店运营模式设计。 </w:t>
      </w:r>
    </w:p>
    <w:p w14:paraId="18CF4539">
      <w:pPr>
        <w:pStyle w:val="18"/>
        <w:numPr>
          <w:ilvl w:val="1"/>
          <w:numId w:val="1"/>
        </w:numPr>
        <w:spacing w:before="120" w:after="120" w:line="264" w:lineRule="auto"/>
        <w:contextualSpacing w:val="0"/>
        <w:jc w:val="both"/>
        <w:rPr>
          <w:rFonts w:eastAsia="Times New Roman" w:cs="Times New Roman"/>
          <w:b/>
          <w:bCs/>
          <w:sz w:val="24"/>
          <w:szCs w:val="24"/>
          <w:lang w:eastAsia="ru-RU"/>
        </w:rPr>
      </w:pPr>
      <w:r>
        <w:rPr>
          <w:rFonts w:eastAsia="Times New Roman" w:cs="Times New Roman"/>
          <w:b/>
          <w:bCs/>
          <w:sz w:val="24"/>
          <w:szCs w:val="24"/>
          <w:lang w:val="en-US" w:eastAsia="ru-RU"/>
        </w:rPr>
        <w:t xml:space="preserve"> </w:t>
      </w:r>
      <w:r>
        <w:rPr>
          <w:rFonts w:eastAsia="Times New Roman" w:cs="Times New Roman"/>
          <w:b/>
          <w:bCs/>
          <w:sz w:val="24"/>
          <w:szCs w:val="24"/>
          <w:lang w:val="en-US" w:eastAsia="zh-CN"/>
        </w:rPr>
        <w:t>项目商业计划书编制</w:t>
      </w:r>
    </w:p>
    <w:p w14:paraId="181D0F43">
      <w:p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>商业计划书应包括：</w:t>
      </w:r>
    </w:p>
    <w:p w14:paraId="518CFE45">
      <w:pPr>
        <w:numPr>
          <w:ilvl w:val="0"/>
          <w:numId w:val="5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 xml:space="preserve">项目介绍及发展战略； </w:t>
      </w:r>
    </w:p>
    <w:p w14:paraId="288A1711">
      <w:pPr>
        <w:numPr>
          <w:ilvl w:val="0"/>
          <w:numId w:val="5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 xml:space="preserve">区域酒店市场及同类度假市场分析； </w:t>
      </w:r>
    </w:p>
    <w:p w14:paraId="0B9EF908">
      <w:pPr>
        <w:numPr>
          <w:ilvl w:val="0"/>
          <w:numId w:val="5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 xml:space="preserve">市场需求、竞争环境及行业基准分析（ADR、OCC、RevPAR）； </w:t>
      </w:r>
    </w:p>
    <w:p w14:paraId="3A24BCDE">
      <w:pPr>
        <w:numPr>
          <w:ilvl w:val="0"/>
          <w:numId w:val="5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 xml:space="preserve">目标客户群体分析； </w:t>
      </w:r>
    </w:p>
    <w:p w14:paraId="7ABB88C7">
      <w:pPr>
        <w:numPr>
          <w:ilvl w:val="0"/>
          <w:numId w:val="5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 xml:space="preserve">市场营销策略； </w:t>
      </w:r>
    </w:p>
    <w:p w14:paraId="22FF2CA0">
      <w:pPr>
        <w:numPr>
          <w:ilvl w:val="0"/>
          <w:numId w:val="5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 xml:space="preserve">销售及渠道策略； </w:t>
      </w:r>
    </w:p>
    <w:p w14:paraId="35CE2C7E">
      <w:pPr>
        <w:numPr>
          <w:ilvl w:val="0"/>
          <w:numId w:val="5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 xml:space="preserve">投资预算（CAPEX — Capital Expenditure，资本性支出）； </w:t>
      </w:r>
    </w:p>
    <w:p w14:paraId="02302C37">
      <w:pPr>
        <w:numPr>
          <w:ilvl w:val="0"/>
          <w:numId w:val="5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 xml:space="preserve">运营成本预测（OPEX — Operating Expenses，运营费用）； </w:t>
      </w:r>
    </w:p>
    <w:p w14:paraId="4E2B92F0">
      <w:pPr>
        <w:numPr>
          <w:ilvl w:val="0"/>
          <w:numId w:val="5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 xml:space="preserve">收入预测； </w:t>
      </w:r>
    </w:p>
    <w:p w14:paraId="799DB68F">
      <w:pPr>
        <w:numPr>
          <w:ilvl w:val="0"/>
          <w:numId w:val="5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 xml:space="preserve">分阶段项目实施计划； </w:t>
      </w:r>
    </w:p>
    <w:p w14:paraId="0015DA3F">
      <w:pPr>
        <w:numPr>
          <w:ilvl w:val="0"/>
          <w:numId w:val="5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 xml:space="preserve">风险分析； </w:t>
      </w:r>
    </w:p>
    <w:p w14:paraId="52213987">
      <w:pPr>
        <w:numPr>
          <w:ilvl w:val="0"/>
          <w:numId w:val="5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 xml:space="preserve">情景分析。 </w:t>
      </w:r>
    </w:p>
    <w:p w14:paraId="68FB6BA9">
      <w:pPr>
        <w:pStyle w:val="18"/>
        <w:numPr>
          <w:ilvl w:val="1"/>
          <w:numId w:val="1"/>
        </w:numPr>
        <w:spacing w:before="120" w:after="120" w:line="264" w:lineRule="auto"/>
        <w:contextualSpacing w:val="0"/>
        <w:jc w:val="both"/>
        <w:rPr>
          <w:rFonts w:eastAsia="Times New Roman" w:cs="Times New Roman"/>
          <w:b/>
          <w:bCs/>
          <w:sz w:val="24"/>
          <w:szCs w:val="24"/>
          <w:lang w:eastAsia="ru-RU"/>
        </w:rPr>
      </w:pPr>
      <w:r>
        <w:rPr>
          <w:rFonts w:eastAsia="Times New Roman" w:cs="Times New Roman"/>
          <w:b/>
          <w:bCs/>
          <w:sz w:val="24"/>
          <w:szCs w:val="24"/>
          <w:lang w:val="en-US" w:eastAsia="ru-RU"/>
        </w:rPr>
        <w:t xml:space="preserve"> </w:t>
      </w:r>
      <w:r>
        <w:rPr>
          <w:rFonts w:eastAsia="Times New Roman" w:cs="Times New Roman"/>
          <w:b/>
          <w:bCs/>
          <w:sz w:val="24"/>
          <w:szCs w:val="24"/>
          <w:lang w:val="en-US" w:eastAsia="zh-CN"/>
        </w:rPr>
        <w:t>财务模型</w:t>
      </w:r>
    </w:p>
    <w:p w14:paraId="1E09C379">
      <w:p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>服务提供方须编制不少于10年的详细财务模型，包括：</w:t>
      </w:r>
    </w:p>
    <w:p w14:paraId="3B6CD4B1">
      <w:pPr>
        <w:numPr>
          <w:ilvl w:val="0"/>
          <w:numId w:val="6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 xml:space="preserve">入住率预测（OCC — Occupancy）； </w:t>
      </w:r>
    </w:p>
    <w:p w14:paraId="784B3C5B">
      <w:pPr>
        <w:numPr>
          <w:ilvl w:val="0"/>
          <w:numId w:val="6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 xml:space="preserve">平均房价预测（ADR — Average Daily Rate）； </w:t>
      </w:r>
    </w:p>
    <w:p w14:paraId="2B20FA32">
      <w:pPr>
        <w:numPr>
          <w:ilvl w:val="0"/>
          <w:numId w:val="6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 xml:space="preserve">每间可售房收入预测（RevPAR — Revenue per Available Room）； </w:t>
      </w:r>
    </w:p>
    <w:p w14:paraId="0B5516C6">
      <w:pPr>
        <w:numPr>
          <w:ilvl w:val="0"/>
          <w:numId w:val="6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 xml:space="preserve">毛营业利润（GOP — Gross Operating Profit）测算； </w:t>
      </w:r>
    </w:p>
    <w:p w14:paraId="0BA21702">
      <w:pPr>
        <w:numPr>
          <w:ilvl w:val="0"/>
          <w:numId w:val="6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 xml:space="preserve">EBITDA（息税折旧摊销前利润）测算； </w:t>
      </w:r>
    </w:p>
    <w:p w14:paraId="0457B57E">
      <w:pPr>
        <w:numPr>
          <w:ilvl w:val="0"/>
          <w:numId w:val="6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 xml:space="preserve">IRR（Internal Rate of Return，内部收益率）测算； </w:t>
      </w:r>
    </w:p>
    <w:p w14:paraId="481AD2C4">
      <w:pPr>
        <w:numPr>
          <w:ilvl w:val="0"/>
          <w:numId w:val="6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 xml:space="preserve">NPV（Net Present Value，净现值）测算； </w:t>
      </w:r>
    </w:p>
    <w:p w14:paraId="2D17EE88">
      <w:pPr>
        <w:numPr>
          <w:ilvl w:val="0"/>
          <w:numId w:val="6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 xml:space="preserve">投资回收期测算； </w:t>
      </w:r>
    </w:p>
    <w:p w14:paraId="201A6C63">
      <w:pPr>
        <w:numPr>
          <w:ilvl w:val="0"/>
          <w:numId w:val="6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 xml:space="preserve">关键参数敏感性分析； </w:t>
      </w:r>
    </w:p>
    <w:p w14:paraId="5AB01EC1">
      <w:pPr>
        <w:numPr>
          <w:ilvl w:val="0"/>
          <w:numId w:val="6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 xml:space="preserve">情景模拟（基准、乐观及保守情景）。 </w:t>
      </w:r>
    </w:p>
    <w:p w14:paraId="62E58CBD">
      <w:p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>财务模型须以Excel格式提交，并完整披露相关假设条件。</w:t>
      </w:r>
    </w:p>
    <w:p w14:paraId="3A132EA8">
      <w:pPr>
        <w:pStyle w:val="18"/>
        <w:numPr>
          <w:ilvl w:val="1"/>
          <w:numId w:val="1"/>
        </w:numPr>
        <w:spacing w:before="120" w:after="120" w:line="264" w:lineRule="auto"/>
        <w:contextualSpacing w:val="0"/>
        <w:jc w:val="both"/>
        <w:rPr>
          <w:rFonts w:eastAsia="Times New Roman" w:cs="Times New Roman"/>
          <w:b/>
          <w:bCs/>
          <w:sz w:val="24"/>
          <w:szCs w:val="24"/>
          <w:lang w:val="en-US" w:eastAsia="ru-RU"/>
        </w:rPr>
      </w:pPr>
      <w:r>
        <w:rPr>
          <w:rFonts w:eastAsia="Times New Roman" w:cs="Times New Roman"/>
          <w:b/>
          <w:bCs/>
          <w:sz w:val="24"/>
          <w:szCs w:val="24"/>
          <w:lang w:val="en-US" w:eastAsia="zh-CN"/>
        </w:rPr>
        <w:t>引入国际酒店品牌特许经营</w:t>
      </w:r>
    </w:p>
    <w:p w14:paraId="6191616A">
      <w:p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>服务提供方应：</w:t>
      </w:r>
    </w:p>
    <w:p w14:paraId="0F0C7E10">
      <w:pPr>
        <w:numPr>
          <w:ilvl w:val="0"/>
          <w:numId w:val="7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 xml:space="preserve">制定国际酒店品牌Short-list（候选品牌名单）； </w:t>
      </w:r>
    </w:p>
    <w:p w14:paraId="10102112">
      <w:pPr>
        <w:numPr>
          <w:ilvl w:val="0"/>
          <w:numId w:val="7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 xml:space="preserve">开展谈判； </w:t>
      </w:r>
    </w:p>
    <w:p w14:paraId="5FDF3B6A">
      <w:pPr>
        <w:numPr>
          <w:ilvl w:val="0"/>
          <w:numId w:val="7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 xml:space="preserve">获取品牌技术及运营要求； </w:t>
      </w:r>
    </w:p>
    <w:p w14:paraId="0194FFC2">
      <w:pPr>
        <w:numPr>
          <w:ilvl w:val="0"/>
          <w:numId w:val="7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 xml:space="preserve">协调商业条款； </w:t>
      </w:r>
    </w:p>
    <w:p w14:paraId="735F9F2F">
      <w:pPr>
        <w:numPr>
          <w:ilvl w:val="0"/>
          <w:numId w:val="7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 xml:space="preserve">评估品牌对项目收益能力的影响； </w:t>
      </w:r>
    </w:p>
    <w:p w14:paraId="7771048C">
      <w:pPr>
        <w:numPr>
          <w:ilvl w:val="0"/>
          <w:numId w:val="7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 xml:space="preserve">编制Term Sheet（核心商业条款清单）； </w:t>
      </w:r>
    </w:p>
    <w:p w14:paraId="4DDFEA7C">
      <w:pPr>
        <w:numPr>
          <w:ilvl w:val="0"/>
          <w:numId w:val="7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 xml:space="preserve">编制特许经营合同草案； </w:t>
      </w:r>
    </w:p>
    <w:p w14:paraId="18DEB3E7">
      <w:pPr>
        <w:numPr>
          <w:ilvl w:val="0"/>
          <w:numId w:val="7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 xml:space="preserve">完成特许经营合同签署。 </w:t>
      </w:r>
    </w:p>
    <w:p w14:paraId="44A550D0">
      <w:p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>特许经营是指允许使用国际酒店品牌及其运营标准的商业特许协议。</w:t>
      </w:r>
    </w:p>
    <w:p w14:paraId="52D6323B">
      <w:pPr>
        <w:spacing w:before="120" w:after="120" w:line="264" w:lineRule="auto"/>
        <w:jc w:val="both"/>
        <w:rPr>
          <w:rFonts w:eastAsia="Times New Roman" w:cs="Times New Roman"/>
          <w:b/>
          <w:bCs/>
          <w:sz w:val="24"/>
          <w:szCs w:val="24"/>
          <w:lang w:val="en-US"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>在委托方满足双方确认的商业条件前提下，服务提供方须全程协助并推进谈判直至完成特许经营协议签署。</w:t>
      </w:r>
    </w:p>
    <w:p w14:paraId="168260D9">
      <w:pPr>
        <w:pStyle w:val="18"/>
        <w:numPr>
          <w:ilvl w:val="1"/>
          <w:numId w:val="1"/>
        </w:numPr>
        <w:spacing w:before="120" w:after="120" w:line="264" w:lineRule="auto"/>
        <w:contextualSpacing w:val="0"/>
        <w:jc w:val="both"/>
        <w:rPr>
          <w:rFonts w:eastAsia="Times New Roman" w:cs="Times New Roman"/>
          <w:b/>
          <w:bCs/>
          <w:sz w:val="24"/>
          <w:szCs w:val="24"/>
          <w:lang w:eastAsia="ru-RU"/>
        </w:rPr>
      </w:pPr>
      <w:r>
        <w:rPr>
          <w:rFonts w:eastAsia="Times New Roman" w:cs="Times New Roman"/>
          <w:b/>
          <w:bCs/>
          <w:sz w:val="24"/>
          <w:szCs w:val="24"/>
          <w:lang w:val="en-US" w:eastAsia="ru-RU"/>
        </w:rPr>
        <w:t xml:space="preserve"> </w:t>
      </w:r>
      <w:r>
        <w:rPr>
          <w:rFonts w:eastAsia="Times New Roman" w:cs="Times New Roman"/>
          <w:b/>
          <w:bCs/>
          <w:sz w:val="24"/>
          <w:szCs w:val="24"/>
          <w:lang w:val="en-US" w:eastAsia="zh-CN"/>
        </w:rPr>
        <w:t>项目设计配合</w:t>
      </w:r>
    </w:p>
    <w:p w14:paraId="075F5675">
      <w:p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>服务提供方应：</w:t>
      </w:r>
    </w:p>
    <w:p w14:paraId="2B791213">
      <w:pPr>
        <w:numPr>
          <w:ilvl w:val="0"/>
          <w:numId w:val="8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 xml:space="preserve">为建筑设计单位编制技术任务书； </w:t>
      </w:r>
    </w:p>
    <w:p w14:paraId="4EA54066">
      <w:pPr>
        <w:numPr>
          <w:ilvl w:val="0"/>
          <w:numId w:val="8"/>
        </w:numPr>
        <w:spacing w:before="120" w:after="120" w:line="264" w:lineRule="auto"/>
        <w:jc w:val="both"/>
      </w:pPr>
      <w:r>
        <w:rPr>
          <w:rFonts w:eastAsia="Times New Roman" w:cs="Times New Roman"/>
          <w:sz w:val="24"/>
          <w:szCs w:val="24"/>
          <w:lang w:eastAsia="ru-RU"/>
        </w:rPr>
        <w:t>配合以下设计阶段：</w:t>
      </w:r>
      <w:r>
        <w:t xml:space="preserve"> </w:t>
      </w:r>
    </w:p>
    <w:p w14:paraId="686B07EE">
      <w:pPr>
        <w:numPr>
          <w:ilvl w:val="1"/>
          <w:numId w:val="9"/>
        </w:numPr>
        <w:tabs>
          <w:tab w:val="left" w:pos="1134"/>
          <w:tab w:val="clear" w:pos="1440"/>
        </w:tabs>
        <w:spacing w:before="120" w:after="120" w:line="264" w:lineRule="auto"/>
        <w:ind w:left="1134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hint="eastAsia" w:eastAsia="SimSun" w:cs="Times New Roman"/>
          <w:sz w:val="24"/>
          <w:szCs w:val="24"/>
          <w:lang w:val="en-US" w:eastAsia="zh-CN"/>
        </w:rPr>
        <w:t>CD</w:t>
      </w:r>
      <w:r>
        <w:rPr>
          <w:rFonts w:eastAsia="Times New Roman" w:cs="Times New Roman"/>
          <w:sz w:val="24"/>
          <w:szCs w:val="24"/>
          <w:lang w:eastAsia="ru-RU"/>
        </w:rPr>
        <w:t xml:space="preserve">（概念方案设计 / Concept Design）； </w:t>
      </w:r>
    </w:p>
    <w:p w14:paraId="3FD8B042">
      <w:pPr>
        <w:numPr>
          <w:ilvl w:val="1"/>
          <w:numId w:val="9"/>
        </w:numPr>
        <w:tabs>
          <w:tab w:val="left" w:pos="1134"/>
          <w:tab w:val="clear" w:pos="1440"/>
        </w:tabs>
        <w:spacing w:before="120" w:after="120" w:line="264" w:lineRule="auto"/>
        <w:ind w:left="1134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hint="eastAsia" w:eastAsia="SimSun" w:cs="Times New Roman"/>
          <w:sz w:val="24"/>
          <w:szCs w:val="24"/>
          <w:lang w:val="en-US" w:eastAsia="zh-CN"/>
        </w:rPr>
        <w:t>DD</w:t>
      </w:r>
      <w:r>
        <w:rPr>
          <w:rFonts w:eastAsia="Times New Roman" w:cs="Times New Roman"/>
          <w:sz w:val="24"/>
          <w:szCs w:val="24"/>
          <w:lang w:eastAsia="ru-RU"/>
        </w:rPr>
        <w:t xml:space="preserve">（项目设计文件 / Design Documentation）； </w:t>
      </w:r>
    </w:p>
    <w:p w14:paraId="6C21AB21">
      <w:pPr>
        <w:numPr>
          <w:ilvl w:val="1"/>
          <w:numId w:val="9"/>
        </w:numPr>
        <w:tabs>
          <w:tab w:val="left" w:pos="1134"/>
          <w:tab w:val="clear" w:pos="1440"/>
        </w:tabs>
        <w:spacing w:before="120" w:after="120" w:line="264" w:lineRule="auto"/>
        <w:ind w:left="1134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hint="eastAsia" w:eastAsia="SimSun" w:cs="Times New Roman"/>
          <w:sz w:val="24"/>
          <w:szCs w:val="24"/>
          <w:lang w:val="en-US" w:eastAsia="zh-CN"/>
        </w:rPr>
        <w:t>WD</w:t>
      </w:r>
      <w:r>
        <w:rPr>
          <w:rFonts w:eastAsia="Times New Roman" w:cs="Times New Roman"/>
          <w:sz w:val="24"/>
          <w:szCs w:val="24"/>
          <w:lang w:eastAsia="ru-RU"/>
        </w:rPr>
        <w:t xml:space="preserve">（施工图文件 / Working Documentation）； </w:t>
      </w:r>
    </w:p>
    <w:p w14:paraId="1DAD6F61">
      <w:pPr>
        <w:numPr>
          <w:ilvl w:val="0"/>
          <w:numId w:val="10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 xml:space="preserve">确保项目符合品牌标准要求； </w:t>
      </w:r>
    </w:p>
    <w:p w14:paraId="57AA2A47">
      <w:pPr>
        <w:numPr>
          <w:ilvl w:val="0"/>
          <w:numId w:val="10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 xml:space="preserve">编制以下采购及配置要求： </w:t>
      </w:r>
    </w:p>
    <w:p w14:paraId="4836C798">
      <w:pPr>
        <w:numPr>
          <w:ilvl w:val="1"/>
          <w:numId w:val="9"/>
        </w:numPr>
        <w:tabs>
          <w:tab w:val="left" w:pos="1134"/>
          <w:tab w:val="clear" w:pos="1440"/>
        </w:tabs>
        <w:spacing w:before="120" w:after="120" w:line="264" w:lineRule="auto"/>
        <w:ind w:left="1134"/>
        <w:jc w:val="both"/>
        <w:rPr>
          <w:rFonts w:eastAsia="Times New Roman" w:cs="Times New Roman"/>
          <w:sz w:val="24"/>
          <w:szCs w:val="24"/>
          <w:lang w:val="en-US" w:eastAsia="ru-RU"/>
        </w:rPr>
      </w:pPr>
      <w:r>
        <w:rPr>
          <w:rFonts w:eastAsia="Times New Roman" w:cs="Times New Roman"/>
          <w:sz w:val="24"/>
          <w:szCs w:val="24"/>
          <w:lang w:val="en-US" w:eastAsia="ru-RU"/>
        </w:rPr>
        <w:t xml:space="preserve">FF&amp;E（Furniture, Fixtures and Equipment，家具、固定装置及设备）； </w:t>
      </w:r>
    </w:p>
    <w:p w14:paraId="2F64CD43">
      <w:pPr>
        <w:numPr>
          <w:ilvl w:val="1"/>
          <w:numId w:val="9"/>
        </w:numPr>
        <w:tabs>
          <w:tab w:val="left" w:pos="1134"/>
          <w:tab w:val="clear" w:pos="1440"/>
        </w:tabs>
        <w:spacing w:before="120" w:after="120" w:line="264" w:lineRule="auto"/>
        <w:ind w:left="1134"/>
        <w:jc w:val="both"/>
        <w:rPr>
          <w:rFonts w:eastAsia="Times New Roman" w:cs="Times New Roman"/>
          <w:sz w:val="24"/>
          <w:szCs w:val="24"/>
          <w:lang w:val="en-US" w:eastAsia="ru-RU"/>
        </w:rPr>
      </w:pPr>
      <w:r>
        <w:rPr>
          <w:rFonts w:eastAsia="Times New Roman" w:cs="Times New Roman"/>
          <w:sz w:val="24"/>
          <w:szCs w:val="24"/>
          <w:lang w:val="en-US" w:eastAsia="ru-RU"/>
        </w:rPr>
        <w:t xml:space="preserve">OS&amp;E（Operating Supplies and Equipment，运营物资及设备）； </w:t>
      </w:r>
    </w:p>
    <w:p w14:paraId="5265B495">
      <w:pPr>
        <w:numPr>
          <w:ilvl w:val="0"/>
          <w:numId w:val="9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 xml:space="preserve">确保取得Brand Approval（品牌正式审批）。 </w:t>
      </w:r>
    </w:p>
    <w:p w14:paraId="21AC1FAA">
      <w:pPr>
        <w:pStyle w:val="18"/>
        <w:numPr>
          <w:ilvl w:val="1"/>
          <w:numId w:val="1"/>
        </w:numPr>
        <w:spacing w:before="120" w:after="120" w:line="264" w:lineRule="auto"/>
        <w:contextualSpacing w:val="0"/>
        <w:jc w:val="both"/>
        <w:rPr>
          <w:rFonts w:eastAsia="Times New Roman" w:cs="Times New Roman"/>
          <w:b/>
          <w:bCs/>
          <w:sz w:val="24"/>
          <w:szCs w:val="24"/>
          <w:lang w:eastAsia="ru-RU"/>
        </w:rPr>
      </w:pPr>
      <w:r>
        <w:rPr>
          <w:rFonts w:eastAsia="Times New Roman" w:cs="Times New Roman"/>
          <w:b/>
          <w:bCs/>
          <w:sz w:val="24"/>
          <w:szCs w:val="24"/>
          <w:lang w:val="en-US" w:eastAsia="ru-RU"/>
        </w:rPr>
        <w:t xml:space="preserve"> </w:t>
      </w:r>
      <w:r>
        <w:rPr>
          <w:rFonts w:eastAsia="Times New Roman" w:cs="Times New Roman"/>
          <w:b/>
          <w:bCs/>
          <w:sz w:val="24"/>
          <w:szCs w:val="24"/>
          <w:lang w:val="en-US" w:eastAsia="zh-CN"/>
        </w:rPr>
        <w:t>开业筹备阶段（Pre-opening）</w:t>
      </w:r>
    </w:p>
    <w:p w14:paraId="0BBCC27C">
      <w:p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>在正式开业前6个月内，服务提供方应完成：</w:t>
      </w:r>
    </w:p>
    <w:p w14:paraId="1CEE596D">
      <w:pPr>
        <w:numPr>
          <w:ilvl w:val="0"/>
          <w:numId w:val="11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 xml:space="preserve">组织架构搭建； </w:t>
      </w:r>
    </w:p>
    <w:p w14:paraId="4A27885E">
      <w:pPr>
        <w:numPr>
          <w:ilvl w:val="0"/>
          <w:numId w:val="11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 xml:space="preserve">人员招聘及培训； </w:t>
      </w:r>
    </w:p>
    <w:p w14:paraId="050B7DCD">
      <w:pPr>
        <w:numPr>
          <w:ilvl w:val="0"/>
          <w:numId w:val="11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 xml:space="preserve">SOP（Standard Operating Procedures，标准运营流程）制定； </w:t>
      </w:r>
    </w:p>
    <w:p w14:paraId="05A8CB4A">
      <w:pPr>
        <w:numPr>
          <w:ilvl w:val="0"/>
          <w:numId w:val="11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 xml:space="preserve">PMS（Property Management System，酒店管理系统）部署； </w:t>
      </w:r>
    </w:p>
    <w:p w14:paraId="7688829E">
      <w:pPr>
        <w:numPr>
          <w:ilvl w:val="0"/>
          <w:numId w:val="11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 xml:space="preserve">POS（Point of Sale，销售管理系统）部署； </w:t>
      </w:r>
    </w:p>
    <w:p w14:paraId="51FB4575">
      <w:pPr>
        <w:numPr>
          <w:ilvl w:val="0"/>
          <w:numId w:val="11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 xml:space="preserve">销售渠道启动； </w:t>
      </w:r>
    </w:p>
    <w:p w14:paraId="201E0BE1">
      <w:pPr>
        <w:numPr>
          <w:ilvl w:val="0"/>
          <w:numId w:val="11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>Soft-opening（试运营）。</w:t>
      </w:r>
    </w:p>
    <w:p w14:paraId="3BC3C5EF">
      <w:pPr>
        <w:pStyle w:val="18"/>
        <w:numPr>
          <w:ilvl w:val="1"/>
          <w:numId w:val="1"/>
        </w:numPr>
        <w:spacing w:before="120" w:after="120" w:line="264" w:lineRule="auto"/>
        <w:contextualSpacing w:val="0"/>
        <w:jc w:val="both"/>
        <w:rPr>
          <w:rFonts w:eastAsia="Times New Roman" w:cs="Times New Roman"/>
          <w:b/>
          <w:bCs/>
          <w:sz w:val="24"/>
          <w:szCs w:val="24"/>
          <w:lang w:eastAsia="ru-RU"/>
        </w:rPr>
      </w:pPr>
      <w:r>
        <w:rPr>
          <w:rFonts w:eastAsia="Times New Roman" w:cs="Times New Roman"/>
          <w:b/>
          <w:bCs/>
          <w:sz w:val="24"/>
          <w:szCs w:val="24"/>
          <w:lang w:val="en-US" w:eastAsia="ru-RU"/>
        </w:rPr>
        <w:t xml:space="preserve"> </w:t>
      </w:r>
      <w:r>
        <w:rPr>
          <w:rFonts w:eastAsia="Times New Roman" w:cs="Times New Roman"/>
          <w:b/>
          <w:bCs/>
          <w:sz w:val="24"/>
          <w:szCs w:val="24"/>
          <w:lang w:val="en-US" w:eastAsia="zh-CN"/>
        </w:rPr>
        <w:t>酒店运营管理</w:t>
      </w:r>
    </w:p>
    <w:p w14:paraId="54935804">
      <w:pPr>
        <w:keepNext w:val="0"/>
        <w:keepLines w:val="0"/>
        <w:widowControl/>
        <w:suppressLineNumbers w:val="0"/>
        <w:jc w:val="left"/>
        <w:rPr>
          <w:rFonts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val="en-US" w:eastAsia="zh-CN" w:bidi="ar-SA"/>
        </w:rPr>
        <w:t>服务提供方须提出不少于5年的酒店运营管理方案，并以HMA（Hotel Management Agreement，酒店管理协议）形式实施。</w:t>
      </w:r>
    </w:p>
    <w:p w14:paraId="58D3C21B">
      <w:p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>商业条款应包括：</w:t>
      </w:r>
    </w:p>
    <w:p w14:paraId="7CBFC323">
      <w:pPr>
        <w:numPr>
          <w:ilvl w:val="0"/>
          <w:numId w:val="12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 xml:space="preserve">管理报酬条件； </w:t>
      </w:r>
    </w:p>
    <w:p w14:paraId="36B51D9B">
      <w:pPr>
        <w:numPr>
          <w:ilvl w:val="0"/>
          <w:numId w:val="12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 xml:space="preserve">KPI（Key Performance Indicators，关键绩效指标）； </w:t>
      </w:r>
    </w:p>
    <w:p w14:paraId="1992B4AD">
      <w:pPr>
        <w:numPr>
          <w:ilvl w:val="0"/>
          <w:numId w:val="12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>向业主提供的报告机制。</w:t>
      </w:r>
    </w:p>
    <w:p w14:paraId="34EA396F">
      <w:pPr>
        <w:pStyle w:val="18"/>
        <w:numPr>
          <w:ilvl w:val="0"/>
          <w:numId w:val="1"/>
        </w:numPr>
        <w:spacing w:before="120" w:after="120" w:line="264" w:lineRule="auto"/>
        <w:contextualSpacing w:val="0"/>
        <w:jc w:val="center"/>
        <w:outlineLvl w:val="1"/>
        <w:rPr>
          <w:rFonts w:eastAsia="Times New Roman" w:cs="Times New Roman"/>
          <w:b/>
          <w:bCs/>
          <w:sz w:val="24"/>
          <w:szCs w:val="24"/>
          <w:lang w:eastAsia="ru-RU"/>
        </w:rPr>
      </w:pPr>
      <w:r>
        <w:rPr>
          <w:rFonts w:eastAsia="Times New Roman" w:cs="Times New Roman"/>
          <w:b/>
          <w:bCs/>
          <w:sz w:val="24"/>
          <w:szCs w:val="24"/>
          <w:lang w:val="en-US" w:eastAsia="zh-CN"/>
        </w:rPr>
        <w:t>项目发展战略</w:t>
      </w:r>
    </w:p>
    <w:p w14:paraId="5AD71FF6">
      <w:p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>服务提供方应提交：</w:t>
      </w:r>
    </w:p>
    <w:p w14:paraId="200AA8E6">
      <w:pPr>
        <w:numPr>
          <w:ilvl w:val="0"/>
          <w:numId w:val="13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 xml:space="preserve">5–10年项目市场定位战略； </w:t>
      </w:r>
    </w:p>
    <w:p w14:paraId="77CF75AB">
      <w:pPr>
        <w:numPr>
          <w:ilvl w:val="0"/>
          <w:numId w:val="13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 xml:space="preserve">项目收益提升及资产增值战略； </w:t>
      </w:r>
    </w:p>
    <w:p w14:paraId="06859121">
      <w:pPr>
        <w:numPr>
          <w:ilvl w:val="0"/>
          <w:numId w:val="13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 xml:space="preserve">退出战略（如有需要）； </w:t>
      </w:r>
    </w:p>
    <w:p w14:paraId="4A4E172E">
      <w:pPr>
        <w:numPr>
          <w:ilvl w:val="0"/>
          <w:numId w:val="13"/>
        </w:numPr>
        <w:spacing w:before="120" w:after="120" w:line="264" w:lineRule="auto"/>
        <w:jc w:val="both"/>
        <w:rPr>
          <w:rFonts w:hint="default" w:ascii="Times New Roman Bold" w:hAnsi="Times New Roman Bold" w:eastAsia="Times New Roman" w:cs="Times New Roman Bold"/>
          <w:b/>
          <w:bCs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>可持续发展战略（包括生态环保与能源效率）。</w:t>
      </w:r>
    </w:p>
    <w:p w14:paraId="7458D232">
      <w:pPr>
        <w:pStyle w:val="18"/>
        <w:numPr>
          <w:ilvl w:val="0"/>
          <w:numId w:val="1"/>
        </w:numPr>
        <w:spacing w:before="120" w:after="120" w:line="264" w:lineRule="auto"/>
        <w:contextualSpacing w:val="0"/>
        <w:jc w:val="center"/>
        <w:outlineLvl w:val="1"/>
        <w:rPr>
          <w:rFonts w:eastAsia="Times New Roman" w:cs="Times New Roman"/>
          <w:b/>
          <w:bCs/>
          <w:sz w:val="24"/>
          <w:szCs w:val="24"/>
          <w:lang w:val="en-US" w:eastAsia="ru-RU"/>
        </w:rPr>
      </w:pPr>
      <w:r>
        <w:rPr>
          <w:rFonts w:hint="default" w:eastAsia="Times New Roman" w:cs="Times New Roman"/>
          <w:b/>
          <w:bCs/>
          <w:sz w:val="24"/>
          <w:szCs w:val="24"/>
          <w:lang w:val="en-US" w:eastAsia="zh-CN"/>
        </w:rPr>
        <w:t>项目成</w:t>
      </w:r>
      <w:r>
        <w:rPr>
          <w:rFonts w:eastAsia="Times New Roman" w:cs="Times New Roman"/>
          <w:b/>
          <w:bCs/>
          <w:sz w:val="24"/>
          <w:szCs w:val="24"/>
          <w:lang w:val="en-US" w:eastAsia="zh-CN"/>
        </w:rPr>
        <w:t>果交付</w:t>
      </w:r>
    </w:p>
    <w:p w14:paraId="0A824711">
      <w:p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>在项目完成后，服务提供方须提交以下成果：</w:t>
      </w:r>
    </w:p>
    <w:p w14:paraId="2021C293">
      <w:pPr>
        <w:numPr>
          <w:ilvl w:val="0"/>
          <w:numId w:val="14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 xml:space="preserve">商业计划书（电子版及纸质版）； </w:t>
      </w:r>
    </w:p>
    <w:p w14:paraId="2B42DDC6">
      <w:pPr>
        <w:numPr>
          <w:ilvl w:val="0"/>
          <w:numId w:val="14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 xml:space="preserve">Excel格式财务模型； </w:t>
      </w:r>
    </w:p>
    <w:p w14:paraId="5439942B">
      <w:pPr>
        <w:numPr>
          <w:ilvl w:val="0"/>
          <w:numId w:val="14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 xml:space="preserve">市场营销战略（电子版及纸质版）； </w:t>
      </w:r>
    </w:p>
    <w:p w14:paraId="39129FD3">
      <w:pPr>
        <w:numPr>
          <w:ilvl w:val="0"/>
          <w:numId w:val="14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 xml:space="preserve">运营管理战略（电子版及纸质版）； </w:t>
      </w:r>
    </w:p>
    <w:p w14:paraId="7B97628C">
      <w:pPr>
        <w:numPr>
          <w:ilvl w:val="0"/>
          <w:numId w:val="14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 xml:space="preserve">酒店品牌Short-list（候选品牌名单，电子版及纸质版）； </w:t>
      </w:r>
    </w:p>
    <w:p w14:paraId="3E5B17C1">
      <w:pPr>
        <w:numPr>
          <w:ilvl w:val="0"/>
          <w:numId w:val="14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 xml:space="preserve">Term Sheet（核心商业条款清单，电子版及纸质版）； </w:t>
      </w:r>
    </w:p>
    <w:p w14:paraId="00F5DD25">
      <w:pPr>
        <w:numPr>
          <w:ilvl w:val="0"/>
          <w:numId w:val="14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 xml:space="preserve">HMA（Hotel Management Agreement，酒店管理协议）主要条款草案（电子版）； </w:t>
      </w:r>
    </w:p>
    <w:p w14:paraId="289AD23C">
      <w:pPr>
        <w:numPr>
          <w:ilvl w:val="0"/>
          <w:numId w:val="14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 xml:space="preserve">项目实施路线图（Roadmap，电子版）。 </w:t>
      </w:r>
    </w:p>
    <w:p w14:paraId="5280624B">
      <w:pPr>
        <w:spacing w:before="120" w:after="120" w:line="264" w:lineRule="auto"/>
        <w:jc w:val="both"/>
        <w:rPr>
          <w:rFonts w:eastAsia="Times New Roman" w:cs="Times New Roman"/>
          <w:b/>
          <w:bCs/>
          <w:sz w:val="24"/>
          <w:szCs w:val="24"/>
          <w:lang w:val="en-US"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>本技术任务书项下工作的执行期限，自合同签署之日起不超过24个月。</w:t>
      </w:r>
      <w:bookmarkStart w:id="0" w:name="_GoBack"/>
      <w:bookmarkEnd w:id="0"/>
    </w:p>
    <w:p w14:paraId="31CEFA95">
      <w:pPr>
        <w:pStyle w:val="18"/>
        <w:numPr>
          <w:ilvl w:val="0"/>
          <w:numId w:val="1"/>
        </w:numPr>
        <w:spacing w:before="120" w:after="120" w:line="264" w:lineRule="auto"/>
        <w:contextualSpacing w:val="0"/>
        <w:jc w:val="center"/>
        <w:outlineLvl w:val="1"/>
        <w:rPr>
          <w:rFonts w:eastAsia="Times New Roman" w:cs="Times New Roman"/>
          <w:b/>
          <w:bCs/>
          <w:sz w:val="24"/>
          <w:szCs w:val="24"/>
          <w:lang w:val="en-US" w:eastAsia="zh-CN"/>
        </w:rPr>
      </w:pPr>
      <w:r>
        <w:rPr>
          <w:rFonts w:eastAsia="Times New Roman" w:cs="Times New Roman"/>
          <w:b/>
          <w:bCs/>
          <w:sz w:val="24"/>
          <w:szCs w:val="24"/>
          <w:lang w:val="en-US" w:eastAsia="zh-CN"/>
        </w:rPr>
        <w:t>商务方案文件要求</w:t>
      </w:r>
    </w:p>
    <w:p w14:paraId="39769669">
      <w:p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>参与方须提交以下材料：</w:t>
      </w:r>
    </w:p>
    <w:p w14:paraId="241DB501">
      <w:pPr>
        <w:numPr>
          <w:ilvl w:val="0"/>
          <w:numId w:val="15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 xml:space="preserve">公司简介及品牌度假酒店项目经验说明； </w:t>
      </w:r>
    </w:p>
    <w:p w14:paraId="35CFF05F">
      <w:pPr>
        <w:numPr>
          <w:ilvl w:val="0"/>
          <w:numId w:val="15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 xml:space="preserve">已实施项目清单（至少2–3个4–4+星级项目）； </w:t>
      </w:r>
    </w:p>
    <w:p w14:paraId="1805075B">
      <w:pPr>
        <w:numPr>
          <w:ilvl w:val="0"/>
          <w:numId w:val="15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 xml:space="preserve">项目团队介绍； </w:t>
      </w:r>
    </w:p>
    <w:p w14:paraId="32A1903C">
      <w:pPr>
        <w:numPr>
          <w:ilvl w:val="0"/>
          <w:numId w:val="15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 xml:space="preserve">工作实施方法论； </w:t>
      </w:r>
    </w:p>
    <w:p w14:paraId="2683201C">
      <w:pPr>
        <w:numPr>
          <w:ilvl w:val="0"/>
          <w:numId w:val="15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 xml:space="preserve">项目阶段计划； </w:t>
      </w:r>
    </w:p>
    <w:p w14:paraId="1B34B9A0">
      <w:pPr>
        <w:numPr>
          <w:ilvl w:val="0"/>
          <w:numId w:val="15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 xml:space="preserve">分阶段报价； </w:t>
      </w:r>
    </w:p>
    <w:p w14:paraId="50495C48">
      <w:pPr>
        <w:numPr>
          <w:ilvl w:val="0"/>
          <w:numId w:val="15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 xml:space="preserve">拟定的酒店运营管理报酬模式； </w:t>
      </w:r>
    </w:p>
    <w:p w14:paraId="2821C93D">
      <w:pPr>
        <w:numPr>
          <w:ilvl w:val="0"/>
          <w:numId w:val="15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 xml:space="preserve">HMA（酒店管理协议）主要条款草案； </w:t>
      </w:r>
    </w:p>
    <w:p w14:paraId="70789EA6">
      <w:pPr>
        <w:numPr>
          <w:ilvl w:val="0"/>
          <w:numId w:val="15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 xml:space="preserve">公司注册文件及法律主体资格证明； </w:t>
      </w:r>
    </w:p>
    <w:p w14:paraId="08D279B3">
      <w:pPr>
        <w:numPr>
          <w:ilvl w:val="0"/>
          <w:numId w:val="15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 xml:space="preserve">最近一年的财务报表（如有审计报告须一并提供）； </w:t>
      </w:r>
    </w:p>
    <w:p w14:paraId="1F75D790">
      <w:pPr>
        <w:numPr>
          <w:ilvl w:val="0"/>
          <w:numId w:val="15"/>
        </w:numPr>
        <w:spacing w:before="120" w:after="120" w:line="264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>与国际酒店品牌合作经验说明（至少2个已落地的4–5星级国际品牌特许经营项目），并提供现行或历史合作协议的书面证明文件。</w:t>
      </w:r>
    </w:p>
    <w:sectPr>
      <w:footerReference r:id="rId5" w:type="default"/>
      <w:pgSz w:w="11906" w:h="16838"/>
      <w:pgMar w:top="709" w:right="851" w:bottom="709" w:left="1701" w:header="709" w:footer="70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503050405090304"/>
    <w:charset w:val="CC"/>
    <w:family w:val="roman"/>
    <w:pitch w:val="default"/>
    <w:sig w:usb0="E0000AFF" w:usb1="00007843" w:usb2="00000001" w:usb3="00000000" w:csb0="400001BF" w:csb1="DFF7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宋体-简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SimHei">
    <w:altName w:val="黑体-简"/>
    <w:panose1 w:val="02010600030101010101"/>
    <w:charset w:val="00"/>
    <w:family w:val="auto"/>
    <w:pitch w:val="default"/>
    <w:sig w:usb0="00000001" w:usb1="080E0000" w:usb2="00000010" w:usb3="00000000" w:csb0="00040000" w:csb1="00000000"/>
  </w:font>
  <w:font w:name="Courier New">
    <w:panose1 w:val="02070409020205090404"/>
    <w:charset w:val="00"/>
    <w:family w:val="modern"/>
    <w:pitch w:val="default"/>
    <w:sig w:usb0="E0000AFF" w:usb1="40007843" w:usb2="00000001" w:usb3="00000000" w:csb0="400001BF" w:csb1="DFF7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86"/>
    <w:family w:val="swiss"/>
    <w:pitch w:val="default"/>
    <w:sig w:usb0="00000000" w:usb1="00000000" w:usb2="00000001" w:usb3="00000000" w:csb0="0000019F" w:csb1="00000000"/>
  </w:font>
  <w:font w:name="SimSun">
    <w:altName w:val="宋体-简"/>
    <w:panose1 w:val="02010600030101010101"/>
    <w:charset w:val="86"/>
    <w:family w:val="auto"/>
    <w:pitch w:val="default"/>
    <w:sig w:usb0="00000000" w:usb1="00000000" w:usb2="00000016" w:usb3="00000000" w:csb0="00040001" w:csb1="00000000"/>
  </w:font>
  <w:font w:name="Calibri">
    <w:altName w:val="Helvetica Neue"/>
    <w:panose1 w:val="020F0502020204030204"/>
    <w:charset w:val="CC"/>
    <w:family w:val="swiss"/>
    <w:pitch w:val="default"/>
    <w:sig w:usb0="00000000" w:usb1="00000000" w:usb2="00000009" w:usb3="00000000" w:csb0="000001FF" w:csb1="00000000"/>
  </w:font>
  <w:font w:name="Calibri">
    <w:altName w:val="Helvetica Neue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ourier New">
    <w:panose1 w:val="02070409020205090404"/>
    <w:charset w:val="CC"/>
    <w:family w:val="modern"/>
    <w:pitch w:val="default"/>
    <w:sig w:usb0="E0000AFF" w:usb1="40007843" w:usb2="00000001" w:usb3="00000000" w:csb0="400001BF" w:csb1="DFF7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黑体-简">
    <w:panose1 w:val="02000000000000000000"/>
    <w:charset w:val="86"/>
    <w:family w:val="auto"/>
    <w:pitch w:val="default"/>
    <w:sig w:usb0="8000002F" w:usb1="0800004A" w:usb2="00000000" w:usb3="00000000" w:csb0="203E0000" w:csb1="00000000"/>
  </w:font>
  <w:font w:name="SimSun">
    <w:altName w:val="宋体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 New Roman Bold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Symbol">
    <w:altName w:val="Kingsoft Sign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sz w:val="20"/>
        <w:szCs w:val="20"/>
      </w:rPr>
      <w:id w:val="712664391"/>
      <w:docPartObj>
        <w:docPartGallery w:val="AutoText"/>
      </w:docPartObj>
    </w:sdtPr>
    <w:sdtEndPr>
      <w:rPr>
        <w:sz w:val="20"/>
        <w:szCs w:val="20"/>
      </w:rPr>
    </w:sdtEndPr>
    <w:sdtContent>
      <w:sdt>
        <w:sdtPr>
          <w:rPr>
            <w:sz w:val="20"/>
            <w:szCs w:val="20"/>
          </w:rPr>
          <w:id w:val="-1"/>
          <w:docPartObj>
            <w:docPartGallery w:val="AutoText"/>
          </w:docPartObj>
        </w:sdtPr>
        <w:sdtEndPr>
          <w:rPr>
            <w:sz w:val="20"/>
            <w:szCs w:val="20"/>
          </w:rPr>
        </w:sdtEndPr>
        <w:sdtContent>
          <w:p w14:paraId="0041C999">
            <w:pPr>
              <w:pStyle w:val="1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Страница </w:t>
            </w:r>
            <w:r>
              <w:rPr>
                <w:b/>
                <w:bCs/>
                <w:sz w:val="20"/>
                <w:szCs w:val="20"/>
              </w:rPr>
              <w:fldChar w:fldCharType="begin"/>
            </w:r>
            <w:r>
              <w:rPr>
                <w:b/>
                <w:bCs/>
                <w:sz w:val="20"/>
                <w:szCs w:val="20"/>
              </w:rPr>
              <w:instrText xml:space="preserve">PAGE</w:instrText>
            </w:r>
            <w:r>
              <w:rPr>
                <w:b/>
                <w:bCs/>
                <w:sz w:val="20"/>
                <w:szCs w:val="20"/>
              </w:rPr>
              <w:fldChar w:fldCharType="separate"/>
            </w:r>
            <w:r>
              <w:rPr>
                <w:b/>
                <w:bCs/>
                <w:sz w:val="20"/>
                <w:szCs w:val="20"/>
              </w:rPr>
              <w:t>2</w:t>
            </w:r>
            <w:r>
              <w:rPr>
                <w:b/>
                <w:bCs/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  <w:t xml:space="preserve"> из </w:t>
            </w:r>
            <w:r>
              <w:rPr>
                <w:b/>
                <w:bCs/>
                <w:sz w:val="20"/>
                <w:szCs w:val="20"/>
              </w:rPr>
              <w:fldChar w:fldCharType="begin"/>
            </w:r>
            <w:r>
              <w:rPr>
                <w:b/>
                <w:bCs/>
                <w:sz w:val="20"/>
                <w:szCs w:val="20"/>
              </w:rPr>
              <w:instrText xml:space="preserve">NUMPAGES</w:instrText>
            </w:r>
            <w:r>
              <w:rPr>
                <w:b/>
                <w:bCs/>
                <w:sz w:val="20"/>
                <w:szCs w:val="20"/>
              </w:rPr>
              <w:fldChar w:fldCharType="separate"/>
            </w:r>
            <w:r>
              <w:rPr>
                <w:b/>
                <w:bCs/>
                <w:sz w:val="20"/>
                <w:szCs w:val="20"/>
              </w:rPr>
              <w:t>2</w:t>
            </w:r>
            <w:r>
              <w:rPr>
                <w:b/>
                <w:bCs/>
                <w:sz w:val="20"/>
                <w:szCs w:val="20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AD7799E"/>
    <w:multiLevelType w:val="multilevel"/>
    <w:tmpl w:val="0AD7799E"/>
    <w:lvl w:ilvl="0" w:tentative="0">
      <w:start w:val="1"/>
      <w:numFmt w:val="bullet"/>
      <w:lvlText w:val="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">
    <w:nsid w:val="2D927991"/>
    <w:multiLevelType w:val="multilevel"/>
    <w:tmpl w:val="2D927991"/>
    <w:lvl w:ilvl="0" w:tentative="0">
      <w:start w:val="1"/>
      <w:numFmt w:val="bullet"/>
      <w:lvlText w:val="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">
    <w:nsid w:val="33073F6A"/>
    <w:multiLevelType w:val="multilevel"/>
    <w:tmpl w:val="33073F6A"/>
    <w:lvl w:ilvl="0" w:tentative="0">
      <w:start w:val="1"/>
      <w:numFmt w:val="bullet"/>
      <w:lvlText w:val="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3">
    <w:nsid w:val="3545453E"/>
    <w:multiLevelType w:val="multilevel"/>
    <w:tmpl w:val="3545453E"/>
    <w:lvl w:ilvl="0" w:tentative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</w:lvl>
    <w:lvl w:ilvl="1" w:tentative="0">
      <w:start w:val="1"/>
      <w:numFmt w:val="decimal"/>
      <w:lvlText w:val="%2."/>
      <w:lvlJc w:val="left"/>
      <w:pPr>
        <w:tabs>
          <w:tab w:val="left" w:pos="1080"/>
        </w:tabs>
        <w:ind w:left="1080" w:hanging="360"/>
      </w:pPr>
    </w:lvl>
    <w:lvl w:ilvl="2" w:tentative="0">
      <w:start w:val="1"/>
      <w:numFmt w:val="decimal"/>
      <w:lvlText w:val="%3."/>
      <w:lvlJc w:val="left"/>
      <w:pPr>
        <w:tabs>
          <w:tab w:val="left" w:pos="1800"/>
        </w:tabs>
        <w:ind w:left="1800" w:hanging="360"/>
      </w:pPr>
    </w:lvl>
    <w:lvl w:ilvl="3" w:tentative="0">
      <w:start w:val="1"/>
      <w:numFmt w:val="decimal"/>
      <w:lvlText w:val="%4."/>
      <w:lvlJc w:val="left"/>
      <w:pPr>
        <w:tabs>
          <w:tab w:val="left" w:pos="2520"/>
        </w:tabs>
        <w:ind w:left="2520" w:hanging="360"/>
      </w:pPr>
    </w:lvl>
    <w:lvl w:ilvl="4" w:tentative="0">
      <w:start w:val="1"/>
      <w:numFmt w:val="decimal"/>
      <w:lvlText w:val="%5."/>
      <w:lvlJc w:val="left"/>
      <w:pPr>
        <w:tabs>
          <w:tab w:val="left" w:pos="3240"/>
        </w:tabs>
        <w:ind w:left="3240" w:hanging="360"/>
      </w:pPr>
    </w:lvl>
    <w:lvl w:ilvl="5" w:tentative="0">
      <w:start w:val="1"/>
      <w:numFmt w:val="decimal"/>
      <w:lvlText w:val="%6."/>
      <w:lvlJc w:val="left"/>
      <w:pPr>
        <w:tabs>
          <w:tab w:val="left" w:pos="3960"/>
        </w:tabs>
        <w:ind w:left="3960" w:hanging="360"/>
      </w:pPr>
    </w:lvl>
    <w:lvl w:ilvl="6" w:tentative="0">
      <w:start w:val="1"/>
      <w:numFmt w:val="decimal"/>
      <w:lvlText w:val="%7."/>
      <w:lvlJc w:val="left"/>
      <w:pPr>
        <w:tabs>
          <w:tab w:val="left" w:pos="4680"/>
        </w:tabs>
        <w:ind w:left="4680" w:hanging="360"/>
      </w:pPr>
    </w:lvl>
    <w:lvl w:ilvl="7" w:tentative="0">
      <w:start w:val="1"/>
      <w:numFmt w:val="decimal"/>
      <w:lvlText w:val="%8."/>
      <w:lvlJc w:val="left"/>
      <w:pPr>
        <w:tabs>
          <w:tab w:val="left" w:pos="5400"/>
        </w:tabs>
        <w:ind w:left="5400" w:hanging="360"/>
      </w:pPr>
    </w:lvl>
    <w:lvl w:ilvl="8" w:tentative="0">
      <w:start w:val="1"/>
      <w:numFmt w:val="decimal"/>
      <w:lvlText w:val="%9."/>
      <w:lvlJc w:val="left"/>
      <w:pPr>
        <w:tabs>
          <w:tab w:val="left" w:pos="6120"/>
        </w:tabs>
        <w:ind w:left="6120" w:hanging="360"/>
      </w:pPr>
    </w:lvl>
  </w:abstractNum>
  <w:abstractNum w:abstractNumId="4">
    <w:nsid w:val="3A225A7D"/>
    <w:multiLevelType w:val="multilevel"/>
    <w:tmpl w:val="3A225A7D"/>
    <w:lvl w:ilvl="0" w:tentative="0">
      <w:start w:val="1"/>
      <w:numFmt w:val="bullet"/>
      <w:lvlText w:val="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5">
    <w:nsid w:val="42CA6EB7"/>
    <w:multiLevelType w:val="multilevel"/>
    <w:tmpl w:val="42CA6EB7"/>
    <w:lvl w:ilvl="0" w:tentative="0">
      <w:start w:val="1"/>
      <w:numFmt w:val="bullet"/>
      <w:lvlText w:val="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6">
    <w:nsid w:val="463C1E91"/>
    <w:multiLevelType w:val="multilevel"/>
    <w:tmpl w:val="463C1E91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 w:tentative="0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 w:tentative="0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 w:tentative="0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 w:tentative="0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 w:tentative="0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 w:tentative="0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 w:tentative="0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7">
    <w:nsid w:val="4944057C"/>
    <w:multiLevelType w:val="multilevel"/>
    <w:tmpl w:val="4944057C"/>
    <w:lvl w:ilvl="0" w:tentative="0">
      <w:start w:val="1"/>
      <w:numFmt w:val="bullet"/>
      <w:lvlText w:val="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8">
    <w:nsid w:val="51310BFB"/>
    <w:multiLevelType w:val="multilevel"/>
    <w:tmpl w:val="51310BFB"/>
    <w:lvl w:ilvl="0" w:tentative="0">
      <w:start w:val="1"/>
      <w:numFmt w:val="bullet"/>
      <w:lvlText w:val="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9">
    <w:nsid w:val="5A913179"/>
    <w:multiLevelType w:val="multilevel"/>
    <w:tmpl w:val="5A913179"/>
    <w:lvl w:ilvl="0" w:tentative="0">
      <w:start w:val="1"/>
      <w:numFmt w:val="bullet"/>
      <w:lvlText w:val="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0">
    <w:nsid w:val="5D597890"/>
    <w:multiLevelType w:val="multilevel"/>
    <w:tmpl w:val="5D597890"/>
    <w:lvl w:ilvl="0" w:tentative="0">
      <w:start w:val="1"/>
      <w:numFmt w:val="bullet"/>
      <w:lvlText w:val="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1">
    <w:nsid w:val="65FD79EC"/>
    <w:multiLevelType w:val="multilevel"/>
    <w:tmpl w:val="65FD79EC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2">
    <w:nsid w:val="66D30CC8"/>
    <w:multiLevelType w:val="multilevel"/>
    <w:tmpl w:val="66D30CC8"/>
    <w:lvl w:ilvl="0" w:tentative="0">
      <w:start w:val="1"/>
      <w:numFmt w:val="bullet"/>
      <w:lvlText w:val="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3">
    <w:nsid w:val="794C36ED"/>
    <w:multiLevelType w:val="multilevel"/>
    <w:tmpl w:val="794C36ED"/>
    <w:lvl w:ilvl="0" w:tentative="0">
      <w:start w:val="1"/>
      <w:numFmt w:val="bullet"/>
      <w:lvlText w:val="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4">
    <w:nsid w:val="7C912C75"/>
    <w:multiLevelType w:val="multilevel"/>
    <w:tmpl w:val="7C912C75"/>
    <w:lvl w:ilvl="0" w:tentative="0">
      <w:start w:val="1"/>
      <w:numFmt w:val="bullet"/>
      <w:lvlText w:val="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num w:numId="1">
    <w:abstractNumId w:val="6"/>
  </w:num>
  <w:num w:numId="2">
    <w:abstractNumId w:val="11"/>
  </w:num>
  <w:num w:numId="3">
    <w:abstractNumId w:val="1"/>
  </w:num>
  <w:num w:numId="4">
    <w:abstractNumId w:val="8"/>
  </w:num>
  <w:num w:numId="5">
    <w:abstractNumId w:val="10"/>
  </w:num>
  <w:num w:numId="6">
    <w:abstractNumId w:val="4"/>
  </w:num>
  <w:num w:numId="7">
    <w:abstractNumId w:val="13"/>
  </w:num>
  <w:num w:numId="8">
    <w:abstractNumId w:val="9"/>
  </w:num>
  <w:num w:numId="9">
    <w:abstractNumId w:val="12"/>
  </w:num>
  <w:num w:numId="10">
    <w:abstractNumId w:val="5"/>
  </w:num>
  <w:num w:numId="11">
    <w:abstractNumId w:val="7"/>
  </w:num>
  <w:num w:numId="12">
    <w:abstractNumId w:val="2"/>
  </w:num>
  <w:num w:numId="13">
    <w:abstractNumId w:val="14"/>
  </w:num>
  <w:num w:numId="14">
    <w:abstractNumId w:val="0"/>
  </w:num>
  <w:num w:numId="1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bordersDoNotSurroundHeader w:val="0"/>
  <w:bordersDoNotSurroundFooter w:val="0"/>
  <w:documentProtection w:enforcement="0"/>
  <w:defaultTabStop w:val="708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736D"/>
    <w:rsid w:val="00014F31"/>
    <w:rsid w:val="00117452"/>
    <w:rsid w:val="00183004"/>
    <w:rsid w:val="001D7248"/>
    <w:rsid w:val="001F6DAD"/>
    <w:rsid w:val="00221EDD"/>
    <w:rsid w:val="002F315B"/>
    <w:rsid w:val="00473AF6"/>
    <w:rsid w:val="0052494C"/>
    <w:rsid w:val="005E60A3"/>
    <w:rsid w:val="00663234"/>
    <w:rsid w:val="0066627D"/>
    <w:rsid w:val="00673E26"/>
    <w:rsid w:val="006C0B77"/>
    <w:rsid w:val="007114EA"/>
    <w:rsid w:val="007734BC"/>
    <w:rsid w:val="007979F1"/>
    <w:rsid w:val="00802CBE"/>
    <w:rsid w:val="008242FF"/>
    <w:rsid w:val="00870751"/>
    <w:rsid w:val="008777A6"/>
    <w:rsid w:val="0088736D"/>
    <w:rsid w:val="008B674D"/>
    <w:rsid w:val="00922C48"/>
    <w:rsid w:val="00924004"/>
    <w:rsid w:val="00942F7B"/>
    <w:rsid w:val="0097044C"/>
    <w:rsid w:val="00993541"/>
    <w:rsid w:val="009D248D"/>
    <w:rsid w:val="00AB0801"/>
    <w:rsid w:val="00AF3F86"/>
    <w:rsid w:val="00B04FC6"/>
    <w:rsid w:val="00B45659"/>
    <w:rsid w:val="00B915B7"/>
    <w:rsid w:val="00B941C1"/>
    <w:rsid w:val="00C54CDF"/>
    <w:rsid w:val="00D8121A"/>
    <w:rsid w:val="00DA4D12"/>
    <w:rsid w:val="00E76988"/>
    <w:rsid w:val="00E8302F"/>
    <w:rsid w:val="00EA59DF"/>
    <w:rsid w:val="00EE14BA"/>
    <w:rsid w:val="00EE4070"/>
    <w:rsid w:val="00F12C76"/>
    <w:rsid w:val="00F7624B"/>
    <w:rsid w:val="00F9431E"/>
    <w:rsid w:val="00FF32A1"/>
    <w:rsid w:val="FBF302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40" w:lineRule="auto"/>
    </w:pPr>
    <w:rPr>
      <w:rFonts w:ascii="Times New Roman" w:hAnsi="Times New Roman" w:eastAsiaTheme="minorHAnsi" w:cstheme="minorBidi"/>
      <w:sz w:val="28"/>
      <w:szCs w:val="22"/>
      <w:lang w:val="ru-RU" w:eastAsia="en-US" w:bidi="ar-SA"/>
    </w:rPr>
  </w:style>
  <w:style w:type="paragraph" w:styleId="2">
    <w:name w:val="heading 1"/>
    <w:basedOn w:val="1"/>
    <w:link w:val="14"/>
    <w:qFormat/>
    <w:uiPriority w:val="9"/>
    <w:pPr>
      <w:spacing w:before="100" w:beforeAutospacing="1" w:after="100" w:afterAutospacing="1"/>
      <w:outlineLvl w:val="0"/>
    </w:pPr>
    <w:rPr>
      <w:rFonts w:eastAsia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2"/>
    <w:basedOn w:val="1"/>
    <w:link w:val="15"/>
    <w:qFormat/>
    <w:uiPriority w:val="9"/>
    <w:pPr>
      <w:spacing w:before="100" w:beforeAutospacing="1" w:after="100" w:afterAutospacing="1"/>
      <w:outlineLvl w:val="1"/>
    </w:pPr>
    <w:rPr>
      <w:rFonts w:eastAsia="Times New Roman" w:cs="Times New Roman"/>
      <w:b/>
      <w:bCs/>
      <w:sz w:val="36"/>
      <w:szCs w:val="36"/>
      <w:lang w:eastAsia="ru-RU"/>
    </w:rPr>
  </w:style>
  <w:style w:type="paragraph" w:styleId="4">
    <w:name w:val="heading 3"/>
    <w:basedOn w:val="1"/>
    <w:link w:val="16"/>
    <w:qFormat/>
    <w:uiPriority w:val="9"/>
    <w:pPr>
      <w:spacing w:before="100" w:beforeAutospacing="1" w:after="100" w:afterAutospacing="1"/>
      <w:outlineLvl w:val="2"/>
    </w:pPr>
    <w:rPr>
      <w:rFonts w:eastAsia="Times New Roman" w:cs="Times New Roman"/>
      <w:b/>
      <w:bCs/>
      <w:sz w:val="27"/>
      <w:szCs w:val="27"/>
      <w:lang w:eastAsia="ru-RU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annotation reference"/>
    <w:basedOn w:val="5"/>
    <w:semiHidden/>
    <w:unhideWhenUsed/>
    <w:uiPriority w:val="99"/>
    <w:rPr>
      <w:sz w:val="16"/>
      <w:szCs w:val="16"/>
    </w:rPr>
  </w:style>
  <w:style w:type="paragraph" w:styleId="8">
    <w:name w:val="annotation text"/>
    <w:basedOn w:val="1"/>
    <w:link w:val="20"/>
    <w:semiHidden/>
    <w:unhideWhenUsed/>
    <w:uiPriority w:val="99"/>
    <w:rPr>
      <w:sz w:val="20"/>
      <w:szCs w:val="20"/>
    </w:rPr>
  </w:style>
  <w:style w:type="paragraph" w:styleId="9">
    <w:name w:val="annotation subject"/>
    <w:basedOn w:val="8"/>
    <w:next w:val="8"/>
    <w:link w:val="21"/>
    <w:semiHidden/>
    <w:unhideWhenUsed/>
    <w:uiPriority w:val="99"/>
    <w:rPr>
      <w:b/>
      <w:bCs/>
    </w:rPr>
  </w:style>
  <w:style w:type="paragraph" w:styleId="10">
    <w:name w:val="footer"/>
    <w:basedOn w:val="1"/>
    <w:link w:val="23"/>
    <w:unhideWhenUsed/>
    <w:uiPriority w:val="99"/>
    <w:pPr>
      <w:tabs>
        <w:tab w:val="center" w:pos="4677"/>
        <w:tab w:val="right" w:pos="9355"/>
      </w:tabs>
      <w:spacing w:after="0"/>
    </w:pPr>
  </w:style>
  <w:style w:type="paragraph" w:styleId="11">
    <w:name w:val="header"/>
    <w:basedOn w:val="1"/>
    <w:link w:val="22"/>
    <w:unhideWhenUsed/>
    <w:uiPriority w:val="99"/>
    <w:pPr>
      <w:tabs>
        <w:tab w:val="center" w:pos="4677"/>
        <w:tab w:val="right" w:pos="9355"/>
      </w:tabs>
      <w:spacing w:after="0"/>
    </w:pPr>
  </w:style>
  <w:style w:type="paragraph" w:styleId="12">
    <w:name w:val="Normal (Web)"/>
    <w:basedOn w:val="1"/>
    <w:semiHidden/>
    <w:unhideWhenUsed/>
    <w:uiPriority w:val="99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character" w:styleId="13">
    <w:name w:val="Strong"/>
    <w:basedOn w:val="5"/>
    <w:qFormat/>
    <w:uiPriority w:val="22"/>
    <w:rPr>
      <w:b/>
      <w:bCs/>
    </w:rPr>
  </w:style>
  <w:style w:type="character" w:customStyle="1" w:styleId="14">
    <w:name w:val="Заголовок 1 Знак"/>
    <w:basedOn w:val="5"/>
    <w:link w:val="2"/>
    <w:uiPriority w:val="9"/>
    <w:rPr>
      <w:rFonts w:ascii="Times New Roman" w:hAnsi="Times New Roman" w:eastAsia="Times New Roman" w:cs="Times New Roman"/>
      <w:b/>
      <w:bCs/>
      <w:kern w:val="36"/>
      <w:sz w:val="48"/>
      <w:szCs w:val="48"/>
      <w:lang w:eastAsia="ru-RU"/>
    </w:rPr>
  </w:style>
  <w:style w:type="character" w:customStyle="1" w:styleId="15">
    <w:name w:val="Заголовок 2 Знак"/>
    <w:basedOn w:val="5"/>
    <w:link w:val="3"/>
    <w:uiPriority w:val="9"/>
    <w:rPr>
      <w:rFonts w:ascii="Times New Roman" w:hAnsi="Times New Roman" w:eastAsia="Times New Roman" w:cs="Times New Roman"/>
      <w:b/>
      <w:bCs/>
      <w:sz w:val="36"/>
      <w:szCs w:val="36"/>
      <w:lang w:eastAsia="ru-RU"/>
    </w:rPr>
  </w:style>
  <w:style w:type="character" w:customStyle="1" w:styleId="16">
    <w:name w:val="Заголовок 3 Знак"/>
    <w:basedOn w:val="5"/>
    <w:link w:val="4"/>
    <w:uiPriority w:val="9"/>
    <w:rPr>
      <w:rFonts w:ascii="Times New Roman" w:hAnsi="Times New Roman" w:eastAsia="Times New Roman" w:cs="Times New Roman"/>
      <w:b/>
      <w:bCs/>
      <w:sz w:val="27"/>
      <w:szCs w:val="27"/>
      <w:lang w:eastAsia="ru-RU"/>
    </w:rPr>
  </w:style>
  <w:style w:type="paragraph" w:customStyle="1" w:styleId="17">
    <w:name w:val="Default"/>
    <w:uiPriority w:val="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 w:eastAsiaTheme="minorHAnsi"/>
      <w:color w:val="000000"/>
      <w:sz w:val="24"/>
      <w:szCs w:val="24"/>
      <w:lang w:val="ru-RU" w:eastAsia="en-US" w:bidi="ar-SA"/>
    </w:rPr>
  </w:style>
  <w:style w:type="paragraph" w:styleId="18">
    <w:name w:val="List Paragraph"/>
    <w:basedOn w:val="1"/>
    <w:qFormat/>
    <w:uiPriority w:val="34"/>
    <w:pPr>
      <w:ind w:left="720"/>
      <w:contextualSpacing/>
    </w:pPr>
  </w:style>
  <w:style w:type="paragraph" w:customStyle="1" w:styleId="19">
    <w:name w:val="Revision"/>
    <w:hidden/>
    <w:semiHidden/>
    <w:uiPriority w:val="99"/>
    <w:pPr>
      <w:spacing w:after="0" w:line="240" w:lineRule="auto"/>
    </w:pPr>
    <w:rPr>
      <w:rFonts w:ascii="Times New Roman" w:hAnsi="Times New Roman" w:eastAsiaTheme="minorHAnsi" w:cstheme="minorBidi"/>
      <w:sz w:val="28"/>
      <w:szCs w:val="22"/>
      <w:lang w:val="ru-RU" w:eastAsia="en-US" w:bidi="ar-SA"/>
    </w:rPr>
  </w:style>
  <w:style w:type="character" w:customStyle="1" w:styleId="20">
    <w:name w:val="Текст примечания Знак"/>
    <w:basedOn w:val="5"/>
    <w:link w:val="8"/>
    <w:semiHidden/>
    <w:uiPriority w:val="99"/>
    <w:rPr>
      <w:rFonts w:ascii="Times New Roman" w:hAnsi="Times New Roman"/>
      <w:sz w:val="20"/>
      <w:szCs w:val="20"/>
    </w:rPr>
  </w:style>
  <w:style w:type="character" w:customStyle="1" w:styleId="21">
    <w:name w:val="Тема примечания Знак"/>
    <w:basedOn w:val="20"/>
    <w:link w:val="9"/>
    <w:semiHidden/>
    <w:uiPriority w:val="99"/>
    <w:rPr>
      <w:rFonts w:ascii="Times New Roman" w:hAnsi="Times New Roman"/>
      <w:b/>
      <w:bCs/>
      <w:sz w:val="20"/>
      <w:szCs w:val="20"/>
    </w:rPr>
  </w:style>
  <w:style w:type="character" w:customStyle="1" w:styleId="22">
    <w:name w:val="Верхний колонтитул Знак"/>
    <w:basedOn w:val="5"/>
    <w:link w:val="11"/>
    <w:uiPriority w:val="99"/>
    <w:rPr>
      <w:rFonts w:ascii="Times New Roman" w:hAnsi="Times New Roman"/>
      <w:sz w:val="28"/>
    </w:rPr>
  </w:style>
  <w:style w:type="character" w:customStyle="1" w:styleId="23">
    <w:name w:val="Нижний колонтитул Знак"/>
    <w:basedOn w:val="5"/>
    <w:link w:val="10"/>
    <w:uiPriority w:val="99"/>
    <w:rPr>
      <w:rFonts w:ascii="Times New Roman" w:hAnsi="Times New Roman"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970</Words>
  <Characters>5535</Characters>
  <Lines>46</Lines>
  <Paragraphs>12</Paragraphs>
  <TotalTime>3</TotalTime>
  <ScaleCrop>false</ScaleCrop>
  <LinksUpToDate>false</LinksUpToDate>
  <CharactersWithSpaces>6493</CharactersWithSpaces>
  <Application>WPS Office_12.1.25880.25880_F1E327BC-269C-435d-A152-05C5408002CA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2026-02-10T18:44:00Z</dcterms:created>
  <dc:creator>Akimov A.</dc:creator>
  <cp:lastModifiedBy>Sadalya Abdieva</cp:lastModifiedBy>
  <dcterms:modified xsi:type="dcterms:W3CDTF">2026-05-11T18:18:02Z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1033-12.1.25880.25880</vt:lpwstr>
  </property>
  <property fmtid="{D5CDD505-2E9C-101B-9397-08002B2CF9AE}" pid="3" name="ICV">
    <vt:lpwstr>E456D03FBA926ECAFAC8016AA3C6002E_42</vt:lpwstr>
  </property>
</Properties>
</file>